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F238FE" w14:paraId="6E068A90" w14:textId="77777777" w:rsidTr="09C1D094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1748D54D" w:rsidR="007C4A7B" w:rsidRPr="00F238FE" w:rsidRDefault="00F82759" w:rsidP="009021F2">
            <w:pPr>
              <w:rPr>
                <w:rFonts w:cstheme="minorHAnsi"/>
              </w:rPr>
            </w:pPr>
            <w:r>
              <w:t xml:space="preserve">การเป็นตัวแทนพนักงาน</w:t>
            </w:r>
          </w:p>
        </w:tc>
      </w:tr>
      <w:tr w:rsidR="007C4A7B" w:rsidRPr="00F238FE" w14:paraId="46FAF9A5" w14:textId="77777777" w:rsidTr="09C1D094">
        <w:tc>
          <w:tcPr>
            <w:tcW w:w="2697" w:type="dxa"/>
            <w:vMerge/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07D9CA03" w:rsidR="007C4A7B" w:rsidRPr="00F238FE" w:rsidRDefault="00F82759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3</w:t>
            </w:r>
          </w:p>
        </w:tc>
      </w:tr>
      <w:tr w:rsidR="007C4A7B" w:rsidRPr="00F238FE" w14:paraId="70FD574D" w14:textId="77777777" w:rsidTr="09C1D094">
        <w:tc>
          <w:tcPr>
            <w:tcW w:w="2697" w:type="dxa"/>
            <w:vMerge/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09C1D094">
        <w:tc>
          <w:tcPr>
            <w:tcW w:w="2697" w:type="dxa"/>
            <w:vMerge/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09C1D094">
        <w:trPr>
          <w:trHeight w:val="420"/>
        </w:trPr>
        <w:tc>
          <w:tcPr>
            <w:tcW w:w="2697" w:type="dxa"/>
            <w:vMerge/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72171418" w14:textId="5DB96E94" w:rsidR="003938C8" w:rsidRDefault="003938C8" w:rsidP="3C967604">
      <w:pPr>
        <w:spacing w:after="0" w:line="360" w:lineRule="auto"/>
        <w:jc w:val="center"/>
        <w:rPr>
          <w:rStyle w:val="normaltextrun"/>
          <w:b/>
          <w:color w:val="000000" w:themeColor="text1"/>
        </w:rPr>
      </w:pPr>
    </w:p>
    <w:p w14:paraId="3D611E98" w14:textId="03DE57DB" w:rsidR="00BF7253" w:rsidRDefault="00411A4E" w:rsidP="00411A4E">
      <w:pPr>
        <w:spacing w:after="0" w:line="360" w:lineRule="auto"/>
        <w:jc w:val="center"/>
        <w:rPr>
          <w:rStyle w:val="normaltextrun"/>
          <w:b/>
          <w:bCs/>
          <w:color w:val="000000" w:themeColor="text1"/>
        </w:rPr>
      </w:pPr>
      <w:r>
        <w:rPr>
          <w:rStyle w:val="normaltextrun"/>
          <w:b/>
          <w:color w:val="000000" w:themeColor="text1"/>
        </w:rPr>
        <w:t xml:space="preserve">การเจรจาต่อรองเกี่ยวกับความเท่าเทียม</w:t>
      </w:r>
    </w:p>
    <w:p w14:paraId="376BB060" w14:textId="77777777" w:rsidR="0041070A" w:rsidRDefault="0041070A" w:rsidP="00411A4E">
      <w:pPr>
        <w:spacing w:after="0" w:line="360" w:lineRule="auto"/>
        <w:jc w:val="center"/>
        <w:rPr>
          <w:rStyle w:val="normaltextrun"/>
          <w:b/>
          <w:bCs/>
          <w:color w:val="000000" w:themeColor="text1"/>
        </w:rPr>
      </w:pPr>
    </w:p>
    <w:p w14:paraId="2F362EF7" w14:textId="77777777" w:rsidR="0041070A" w:rsidRPr="00391CB3" w:rsidRDefault="0041070A" w:rsidP="00411A4E">
      <w:pPr>
        <w:spacing w:after="0" w:line="360" w:lineRule="auto"/>
        <w:jc w:val="center"/>
        <w:rPr>
          <w:rFonts w:cstheme="minorHAnsi"/>
        </w:rPr>
      </w:pPr>
    </w:p>
    <w:p w14:paraId="3477A40A" w14:textId="598A9E8A" w:rsidR="3C967604" w:rsidRDefault="3C967604" w:rsidP="3C967604">
      <w:pPr>
        <w:spacing w:after="0" w:line="360" w:lineRule="auto"/>
        <w:jc w:val="center"/>
        <w:rPr>
          <w:rStyle w:val="normaltextrun"/>
          <w:b/>
          <w:bCs/>
          <w:color w:val="000000" w:themeColor="text1"/>
        </w:rPr>
      </w:pPr>
    </w:p>
    <w:p w14:paraId="0EFBFC1D" w14:textId="77777777" w:rsidR="002149D5" w:rsidRPr="00391CB3" w:rsidRDefault="002149D5" w:rsidP="009F15FF">
      <w:pPr>
        <w:spacing w:after="0" w:line="360" w:lineRule="auto"/>
        <w:rPr>
          <w:rFonts w:cstheme="minorHAnsi"/>
        </w:rPr>
        <w:sectPr w:rsidR="002149D5" w:rsidRPr="00391CB3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5241A6" w14:textId="77777777" w:rsidR="000465BB" w:rsidRPr="007516D7" w:rsidRDefault="000465BB" w:rsidP="000465B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b/>
          <w:bCs/>
          <w:rFonts w:asciiTheme="minorHAnsi" w:hAnsiTheme="minorHAnsi"/>
        </w:rPr>
        <w:t xml:space="preserve">หัวข้อ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: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 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การเจรจาต่อรองเกี่ยวกับความเท่าเทียม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58AD648E" w14:textId="7E5E956E" w:rsidR="000465BB" w:rsidRDefault="000465BB" w:rsidP="5EB0FC3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  <w:sz w:val="22"/>
          <w:szCs w:val="22"/>
          <w:rFonts w:asciiTheme="minorHAnsi" w:eastAsiaTheme="minorEastAsia" w:hAnsiTheme="minorHAnsi" w:cstheme="minorBidi"/>
        </w:rPr>
      </w:pPr>
      <w:r>
        <w:rPr>
          <w:rStyle w:val="normaltextrun"/>
          <w:color w:val="000000" w:themeColor="text1"/>
          <w:sz w:val="22"/>
          <w:b/>
          <w:bCs/>
          <w:rFonts w:asciiTheme="minorHAnsi" w:hAnsiTheme="minorHAnsi"/>
        </w:rPr>
        <w:t xml:space="preserve">เรียบเรียงโดย:</w:t>
      </w:r>
      <w:r>
        <w:rPr>
          <w:rStyle w:val="normaltextrun"/>
          <w:color w:val="000000" w:themeColor="text1"/>
          <w:sz w:val="22"/>
          <w:b/>
          <w:rFonts w:asciiTheme="minorHAnsi" w:hAnsiTheme="minorHAnsi"/>
        </w:rPr>
        <w:t xml:space="preserve"> </w:t>
      </w:r>
      <w:r>
        <w:rPr>
          <w:rStyle w:val="normaltextrun"/>
          <w:color w:val="000000" w:themeColor="text1"/>
          <w:sz w:val="22"/>
          <w:rFonts w:asciiTheme="minorHAnsi" w:hAnsiTheme="minorHAnsi"/>
        </w:rPr>
        <w:t xml:space="preserve">Deanna Boylan, Theodora Ko Thompson, James Jacobson, Paula Peña, Josefina Riggs, Micah Rogers, Joy Vegar และ Emily Wang</w:t>
      </w:r>
    </w:p>
    <w:p w14:paraId="0EF7811E" w14:textId="77777777" w:rsidR="000465BB" w:rsidRDefault="000465BB" w:rsidP="000465BB">
      <w:pPr>
        <w:pStyle w:val="NormalWeb"/>
        <w:spacing w:before="0" w:beforeAutospacing="0" w:after="0" w:afterAutospacing="0" w:line="276" w:lineRule="auto"/>
        <w:textAlignment w:val="baseline"/>
        <w:rPr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ยื่นโดย: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บอร์ดบริหาร SEIU Local 503</w:t>
      </w:r>
    </w:p>
    <w:p w14:paraId="48211418" w14:textId="77777777" w:rsidR="000465BB" w:rsidRDefault="000465BB" w:rsidP="000465B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 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380CBF66" w14:textId="77777777" w:rsidR="000465BB" w:rsidRPr="007516D7" w:rsidRDefault="000465BB" w:rsidP="000465B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 สมาชิกของเราจะมีสิทธิ์มีเสียงในที่ทำงานและได้รับพลังส่วนรวมที่ส่งผลกระทบกับชีวิตของพวกเขาในเชิงบวกผ่านการเจรจาต่อรอง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5C178E5C" w14:textId="531E9AEA" w:rsidR="000465BB" w:rsidRPr="007516D7" w:rsidRDefault="000465BB" w:rsidP="000465B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 แผนกลยุทธ์ของสหภาพของเราจะรวมเป้าหมายของการเอาชนะปัญหาหลักในเรื่องค่าแรง การดูแลสุขภาพ และการเกษียณอายุผ่านทุกช่องทางที่เป็นไปได้ เช่น การเจรจาต่อรอง การเมือง การรณรงค์ในสถานที่ทำงานและชุมชน ขณะที่มองการเจรจาต่อรองด้วยมุมมองที่ว่านโยบายส่งผลต่อสมาชิกผิวสี ผู้อพยพ ผู้พิการ สตรี และสมาชิก LGBTQIA+ แตกต่างกันอย่างไร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0EBD4541" w14:textId="3762B769" w:rsidR="000465BB" w:rsidRPr="007516D7" w:rsidRDefault="000465BB" w:rsidP="000465B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b/>
          <w:bCs/>
          <w:rFonts w:asciiTheme="minorHAnsi" w:hAnsiTheme="minorHAnsi"/>
        </w:rPr>
        <w:t xml:space="preserve">ด้วยเหตุที่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 การประชุมสภาสามัญปี 2020 ของเรา ได้ผ่านมติในการสร้างกลุ่มทำงานการเจรจาต่อรองอย่างเท่าเทียม โดยได้กำหนดคำแนะนำในการเจรจาต่อรองในหัวข้อต่อไปนี้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 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0E167C53" w14:textId="5C1C9D03" w:rsidR="000465BB" w:rsidRPr="007516D7" w:rsidRDefault="000465BB" w:rsidP="004A099F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การสร้างกระบวนการที่เป็นที่ยอมรับและเป็นธรรมในการสรรหาบุคคลผิวสี ผู้อพยพ สตรี บุคคลผู้พิการ และสมาชิก LGBTQIA+ เพื่อเข้าร่วมทีมเจรจาต่อรองและทีมดำเนินการด้านสัญญา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0FAC27FD" w14:textId="72585E3E" w:rsidR="000465BB" w:rsidRPr="007516D7" w:rsidRDefault="000465BB" w:rsidP="000465B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การระบุถึงประเด็นในการเจรจาต่อรองที่ส่งผลต่อแรงงานผิวสี ผู้อพยพ สตรี บุคคลผู้พิการ และแรงงาน LGBTQIA+ ในสัดส่วนที่ไม่เหมาะสม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 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5A86D25A" w14:textId="77777777" w:rsidR="000465BB" w:rsidRPr="007516D7" w:rsidRDefault="000465BB" w:rsidP="000465BB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การใช้วิธีการที่เป็นที่ยอมรับในการแปลแบบสำรวจการเจรจาและการเจรจาต่อรองอื่นๆ ที่เกี่ยวกับการสื่อสาร เพื่อให้สมาชิกทั้งหมดสามารถทราบถึงข่าวสารการเจรจาต่อรองที่กำลังเกิดขึ้นที่ส่งผลกระทบต่อพวกเขาได้ และสามารถเข้าถึงเพื่อเข้าในสหภาพของพวกเขาได้อย่างเท่าเทียม โดยไม่คำนึงถึงภาษาที่พวกเขาพูด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01409E71" w14:textId="39126491" w:rsidR="000465BB" w:rsidRPr="007516D7" w:rsidRDefault="000465BB" w:rsidP="000465B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sz w:val="22"/>
          <w:rStyle w:val="normaltextrun"/>
          <w:b/>
          <w:bCs/>
          <w:rFonts w:asciiTheme="minorHAnsi" w:hAnsiTheme="minorHAnsi"/>
        </w:rPr>
        <w:t xml:space="preserve">ให้สภาสามัญของ SEIU Local 503, OPEU ดำเนินการแก้ไขปรับปรุง:</w:t>
      </w:r>
      <w:r>
        <w:rPr>
          <w:sz w:val="22"/>
          <w:rStyle w:val="normaltextrun"/>
          <w:rFonts w:asciiTheme="minorHAnsi" w:hAnsiTheme="minorHAnsi"/>
        </w:rPr>
        <w:t xml:space="preserve"> ทีมเจรจาของ SEIU Local 503 ทั้งหมดจะต้องนำข้อแนะนำของกลุ่มทำงานการเจรจาต่อรองอย่างเท่าเทียมมาพิจารณา และจะคำนึงถึงผลกระทบที่อาจเกิดขึ้นจากข้อเสนอในการเจรจาที่เกิดขึ้นที่มีต่อแรงงานจากชุมชนชายขอบที่มีมาแต่เดิมด้วย</w:t>
      </w:r>
      <w:r>
        <w:rPr>
          <w:sz w:val="22"/>
          <w:rStyle w:val="normaltextrun"/>
          <w:color w:val="000000" w:themeColor="text1"/>
          <w:rFonts w:asciiTheme="minorHAnsi" w:hAnsiTheme="minorHAnsi"/>
        </w:rPr>
        <w:t xml:space="preserve"> </w:t>
      </w:r>
      <w:r>
        <w:rPr>
          <w:sz w:val="22"/>
          <w:rStyle w:val="normaltextrun"/>
          <w:color w:val="000000" w:themeColor="text1"/>
          <w:rFonts w:asciiTheme="minorHAnsi" w:hAnsiTheme="minorHAnsi"/>
        </w:rPr>
        <w:t xml:space="preserve"> </w:t>
      </w:r>
      <w:r>
        <w:rPr>
          <w:sz w:val="22"/>
          <w:rStyle w:val="eop"/>
          <w:color w:val="000000" w:themeColor="text1"/>
          <w:rFonts w:asciiTheme="minorHAnsi" w:hAnsiTheme="minorHAnsi"/>
        </w:rPr>
        <w:t xml:space="preserve"> </w:t>
      </w:r>
    </w:p>
    <w:p w14:paraId="270AFD10" w14:textId="14CD5639" w:rsidR="000465BB" w:rsidRPr="007516D7" w:rsidRDefault="000465BB" w:rsidP="000465B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b/>
          <w:rFonts w:asciiTheme="minorHAnsi" w:hAnsiTheme="minorHAnsi"/>
        </w:rPr>
        <w:t xml:space="preserve">ให้ดำเนินการแก้ไขปรับปรุงเพิ่มเติม: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 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ทีมเจรจาจะสำรวจและให้ความสำคัญกับการเอาชนะภาษาในสัญญาในหัวข้อต่อไปนี้: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6B9B2880" w14:textId="2FE30DE5" w:rsidR="000465BB" w:rsidRPr="007516D7" w:rsidRDefault="000465BB" w:rsidP="000019DE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sz w:val="22"/>
          <w:rStyle w:val="normaltextrun"/>
          <w:rFonts w:asciiTheme="minorHAnsi" w:hAnsiTheme="minorHAnsi"/>
        </w:rPr>
        <w:t xml:space="preserve">การต่อต้านการล่วงละเมิดและการกลั่นแกล้งอย่างเอาจริงเอาจัง, สัญญา, ภาษา โดยเฉพาะอย่างยิ่งที่มีต่อกลุ่ม BIPOC, LGBTIA+ และสตรี, การเหยียดผู้พิการ, การเหยียดผู้สูงอายุ และการเลือกปฏิบัติทุกรูปแบบ</w:t>
      </w:r>
      <w:r>
        <w:rPr>
          <w:sz w:val="22"/>
          <w:rStyle w:val="normaltextrun"/>
          <w:color w:val="000000" w:themeColor="text1"/>
          <w:rFonts w:asciiTheme="minorHAnsi" w:hAnsiTheme="minorHAnsi"/>
        </w:rPr>
        <w:t xml:space="preserve">  </w:t>
      </w:r>
      <w:r>
        <w:rPr>
          <w:sz w:val="22"/>
          <w:rStyle w:val="eop"/>
          <w:color w:val="000000" w:themeColor="text1"/>
          <w:rFonts w:asciiTheme="minorHAnsi" w:hAnsiTheme="minorHAnsi"/>
        </w:rPr>
        <w:t xml:space="preserve"> </w:t>
      </w:r>
    </w:p>
    <w:p w14:paraId="3A6DAC1A" w14:textId="4797747E" w:rsidR="000465BB" w:rsidRPr="007516D7" w:rsidRDefault="000465BB" w:rsidP="000465B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sz w:val="22"/>
          <w:rStyle w:val="normaltextrun"/>
          <w:rFonts w:asciiTheme="minorHAnsi" w:hAnsiTheme="minorHAnsi"/>
        </w:rPr>
        <w:t xml:space="preserve">การเหยียดเชื้อชาติ การเลือกปฏิบัติ การคุกคามเล็กๆ น้อยๆ ความลำเอียงอย่างชัดเจนหรือที่เห็นเป็นนัย และการละเมิดในประเด็นเรื่องสุขภาพ</w:t>
      </w:r>
      <w:r>
        <w:rPr>
          <w:sz w:val="22"/>
          <w:rStyle w:val="normaltextrun"/>
          <w:color w:val="000000" w:themeColor="text1"/>
          <w:rFonts w:asciiTheme="minorHAnsi" w:hAnsiTheme="minorHAnsi"/>
        </w:rPr>
        <w:t xml:space="preserve">  </w:t>
      </w:r>
      <w:r>
        <w:rPr>
          <w:sz w:val="22"/>
          <w:rStyle w:val="eop"/>
          <w:color w:val="000000" w:themeColor="text1"/>
          <w:rFonts w:asciiTheme="minorHAnsi" w:hAnsiTheme="minorHAnsi"/>
        </w:rPr>
        <w:t xml:space="preserve"> </w:t>
      </w:r>
    </w:p>
    <w:p w14:paraId="1C702B67" w14:textId="77777777" w:rsidR="000465BB" w:rsidRPr="007516D7" w:rsidRDefault="000465BB" w:rsidP="000465B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การเข้าถึง สิทธิ และการคุ้มครองในเรื่องเพศและการข้ามเพศ รวมถึงการดูแลสุขภาพของบุคคลข้ามเพศ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 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163DCC9D" w14:textId="77777777" w:rsidR="000465BB" w:rsidRPr="007516D7" w:rsidRDefault="000465BB" w:rsidP="000465B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sz w:val="22"/>
          <w:rStyle w:val="normaltextrun"/>
          <w:rFonts w:asciiTheme="minorHAnsi" w:hAnsiTheme="minorHAnsi"/>
        </w:rPr>
        <w:t xml:space="preserve">ภาระงานที่เท่าเทียมที่ตระหนักถึง “งานที่ไม่มีใครมองเห็น” ด้วย รวมถึงแรงงานที่ต้องรองรับอารมณ์ ที่สตรี คนพื้นเมืองที่มีผิวดำและคนผิวสี และพนักงานที่พูดหลายภาษาต้องแบกรับ</w:t>
      </w:r>
      <w:r>
        <w:rPr>
          <w:sz w:val="22"/>
          <w:rStyle w:val="eop"/>
          <w:color w:val="000000" w:themeColor="text1"/>
          <w:rFonts w:asciiTheme="minorHAnsi" w:hAnsiTheme="minorHAnsi"/>
        </w:rPr>
        <w:t xml:space="preserve"> </w:t>
      </w:r>
    </w:p>
    <w:p w14:paraId="5BDF4D5E" w14:textId="43D9E63A" w:rsidR="000465BB" w:rsidRPr="007516D7" w:rsidRDefault="005C09D4" w:rsidP="000465B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ตรวจสอบภูมิหลังและการใช้ข้อมูลดังกล่าว และผลกระทบที่มีต่อผู้ที่เคยถูกจองจำ โดยเฉพาะคนผิวดำและน้ำตาลที่ได้รับผลกระทบในสัดส่วนที่ไม่เหมาะสม</w:t>
      </w:r>
      <w:r>
        <w:rPr>
          <w:color w:val="000000" w:themeColor="text1"/>
          <w:sz w:val="22"/>
          <w:rStyle w:val="normaltextrun"/>
          <w:rFonts w:asciiTheme="minorHAnsi" w:hAnsiTheme="minorHAnsi"/>
        </w:rPr>
        <w:t xml:space="preserve">  </w:t>
      </w:r>
      <w:r>
        <w:rPr>
          <w:color w:val="000000" w:themeColor="text1"/>
          <w:sz w:val="22"/>
          <w:rStyle w:val="eop"/>
          <w:rFonts w:asciiTheme="minorHAnsi" w:hAnsiTheme="minorHAnsi"/>
        </w:rPr>
        <w:t xml:space="preserve"> </w:t>
      </w:r>
    </w:p>
    <w:p w14:paraId="20A8010B" w14:textId="77777777" w:rsidR="000465BB" w:rsidRDefault="000465BB" w:rsidP="000465BB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sz w:val="22"/>
          <w:rStyle w:val="normaltextrun"/>
          <w:rFonts w:asciiTheme="minorHAnsi" w:hAnsiTheme="minorHAnsi"/>
        </w:rPr>
        <w:t xml:space="preserve">การแก้ไขประเด็นปัญหาในเรื่องแรงงานจากชุมชนชายขอบที่มีมาแต่เดิม (ตัวอย่าง:</w:t>
      </w:r>
      <w:r>
        <w:rPr>
          <w:sz w:val="22"/>
          <w:rStyle w:val="normaltextrun"/>
          <w:rFonts w:asciiTheme="minorHAnsi" w:hAnsiTheme="minorHAnsi"/>
        </w:rPr>
        <w:t xml:space="preserve"> </w:t>
      </w:r>
      <w:r>
        <w:rPr>
          <w:sz w:val="22"/>
          <w:rStyle w:val="normaltextrun"/>
          <w:rFonts w:asciiTheme="minorHAnsi" w:hAnsiTheme="minorHAnsi"/>
        </w:rPr>
        <w:t xml:space="preserve">การสัมภาษณ์พนักงานที่ลาออก กลุ่มทรัพยากรพนักงาน และช่องว่างที่เกิดจากอัตลักษณ์ตัวตนอื่นๆ และติดตามอัตราการลาออกของแรงงานจากชุมชนชายขอบที่มีมาแต่เดิม)</w:t>
      </w:r>
      <w:r>
        <w:rPr>
          <w:sz w:val="22"/>
          <w:rStyle w:val="eop"/>
          <w:rFonts w:asciiTheme="minorHAnsi" w:hAnsiTheme="minorHAnsi"/>
        </w:rPr>
        <w:t xml:space="preserve"> </w:t>
      </w:r>
    </w:p>
    <w:p w14:paraId="7CBB0B6B" w14:textId="62D13C09" w:rsidR="000465BB" w:rsidRPr="00B74E0C" w:rsidRDefault="000465BB" w:rsidP="00B74E0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2"/>
          <w:szCs w:val="22"/>
          <w:rFonts w:asciiTheme="minorHAnsi" w:eastAsiaTheme="minorEastAsia" w:hAnsiTheme="minorHAnsi" w:cstheme="minorBidi"/>
        </w:rPr>
      </w:pPr>
      <w:r>
        <w:rPr>
          <w:sz w:val="22"/>
          <w:rStyle w:val="normaltextrun"/>
          <w:b/>
          <w:bCs/>
          <w:rFonts w:asciiTheme="minorHAnsi" w:hAnsiTheme="minorHAnsi"/>
        </w:rPr>
        <w:t xml:space="preserve">ให้ดำเนินการแก้ไขปรับปรุงเพิ่มเติม:</w:t>
      </w:r>
      <w:r>
        <w:rPr>
          <w:sz w:val="22"/>
          <w:rStyle w:val="normaltextrun"/>
          <w:rFonts w:asciiTheme="minorHAnsi" w:hAnsiTheme="minorHAnsi"/>
        </w:rPr>
        <w:t xml:space="preserve"> ทีมเจรจาต่อรองทั้งหมดจะได้รับการฝึกอบรมอย่างเท่าเทียม ซึ่งจะรวมถึงกรอบความคิดผ่านวิธีการต่างๆ ที่จุดประสงค์ในการเจรจาจะส่งผลกระทบที่แตกต่างกันออกไปในแต่ละชุมชน</w:t>
      </w:r>
      <w:r>
        <w:rPr>
          <w:sz w:val="22"/>
          <w:rStyle w:val="eop"/>
          <w:rFonts w:asciiTheme="minorHAnsi" w:hAnsiTheme="minorHAnsi"/>
        </w:rPr>
        <w:t xml:space="preserve"> </w:t>
      </w:r>
    </w:p>
    <w:sectPr w:rsidR="000465BB" w:rsidRPr="00B74E0C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18A0" w14:textId="77777777" w:rsidR="00E1166D" w:rsidRDefault="00E1166D" w:rsidP="005221A6">
      <w:pPr>
        <w:spacing w:after="0" w:line="240" w:lineRule="auto"/>
      </w:pPr>
      <w:r>
        <w:separator/>
      </w:r>
    </w:p>
  </w:endnote>
  <w:endnote w:type="continuationSeparator" w:id="0">
    <w:p w14:paraId="62B10EEA" w14:textId="77777777" w:rsidR="00E1166D" w:rsidRDefault="00E1166D" w:rsidP="005221A6">
      <w:pPr>
        <w:spacing w:after="0" w:line="240" w:lineRule="auto"/>
      </w:pPr>
      <w:r>
        <w:continuationSeparator/>
      </w:r>
    </w:p>
  </w:endnote>
  <w:endnote w:type="continuationNotice" w:id="1">
    <w:p w14:paraId="3EB9B5DC" w14:textId="77777777" w:rsidR="00E1166D" w:rsidRDefault="00E11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69EA" w14:textId="77777777" w:rsidR="00E1166D" w:rsidRDefault="00E1166D" w:rsidP="005221A6">
      <w:pPr>
        <w:spacing w:after="0" w:line="240" w:lineRule="auto"/>
      </w:pPr>
      <w:r>
        <w:separator/>
      </w:r>
    </w:p>
  </w:footnote>
  <w:footnote w:type="continuationSeparator" w:id="0">
    <w:p w14:paraId="18298232" w14:textId="77777777" w:rsidR="00E1166D" w:rsidRDefault="00E1166D" w:rsidP="005221A6">
      <w:pPr>
        <w:spacing w:after="0" w:line="240" w:lineRule="auto"/>
      </w:pPr>
      <w:r>
        <w:continuationSeparator/>
      </w:r>
    </w:p>
  </w:footnote>
  <w:footnote w:type="continuationNotice" w:id="1">
    <w:p w14:paraId="0B976CA9" w14:textId="77777777" w:rsidR="00E1166D" w:rsidRDefault="00E116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35CD0"/>
    <w:multiLevelType w:val="hybridMultilevel"/>
    <w:tmpl w:val="DBD646AE"/>
    <w:lvl w:ilvl="0" w:tplc="E070BA1A">
      <w:start w:val="1"/>
      <w:numFmt w:val="lowerLetter"/>
      <w:lvlText w:val="%1."/>
      <w:lvlJc w:val="left"/>
      <w:pPr>
        <w:ind w:left="720" w:hanging="360"/>
      </w:pPr>
    </w:lvl>
    <w:lvl w:ilvl="1" w:tplc="F412EA20">
      <w:start w:val="1"/>
      <w:numFmt w:val="lowerLetter"/>
      <w:lvlText w:val="%2."/>
      <w:lvlJc w:val="left"/>
      <w:pPr>
        <w:ind w:left="1440" w:hanging="360"/>
      </w:pPr>
    </w:lvl>
    <w:lvl w:ilvl="2" w:tplc="72F81512">
      <w:start w:val="1"/>
      <w:numFmt w:val="lowerRoman"/>
      <w:lvlText w:val="%3."/>
      <w:lvlJc w:val="right"/>
      <w:pPr>
        <w:ind w:left="2160" w:hanging="180"/>
      </w:pPr>
    </w:lvl>
    <w:lvl w:ilvl="3" w:tplc="AE92B428">
      <w:start w:val="1"/>
      <w:numFmt w:val="decimal"/>
      <w:lvlText w:val="%4."/>
      <w:lvlJc w:val="left"/>
      <w:pPr>
        <w:ind w:left="2880" w:hanging="360"/>
      </w:pPr>
    </w:lvl>
    <w:lvl w:ilvl="4" w:tplc="167C1A46">
      <w:start w:val="1"/>
      <w:numFmt w:val="lowerLetter"/>
      <w:lvlText w:val="%5."/>
      <w:lvlJc w:val="left"/>
      <w:pPr>
        <w:ind w:left="3600" w:hanging="360"/>
      </w:pPr>
    </w:lvl>
    <w:lvl w:ilvl="5" w:tplc="53E4C7F2">
      <w:start w:val="1"/>
      <w:numFmt w:val="lowerRoman"/>
      <w:lvlText w:val="%6."/>
      <w:lvlJc w:val="right"/>
      <w:pPr>
        <w:ind w:left="4320" w:hanging="180"/>
      </w:pPr>
    </w:lvl>
    <w:lvl w:ilvl="6" w:tplc="4A9EEFD2">
      <w:start w:val="1"/>
      <w:numFmt w:val="decimal"/>
      <w:lvlText w:val="%7."/>
      <w:lvlJc w:val="left"/>
      <w:pPr>
        <w:ind w:left="5040" w:hanging="360"/>
      </w:pPr>
    </w:lvl>
    <w:lvl w:ilvl="7" w:tplc="0AB4E910">
      <w:start w:val="1"/>
      <w:numFmt w:val="lowerLetter"/>
      <w:lvlText w:val="%8."/>
      <w:lvlJc w:val="left"/>
      <w:pPr>
        <w:ind w:left="5760" w:hanging="360"/>
      </w:pPr>
    </w:lvl>
    <w:lvl w:ilvl="8" w:tplc="9668B25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7917"/>
    <w:multiLevelType w:val="hybridMultilevel"/>
    <w:tmpl w:val="FB907A48"/>
    <w:lvl w:ilvl="0" w:tplc="B6BE28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C601DD"/>
    <w:multiLevelType w:val="hybridMultilevel"/>
    <w:tmpl w:val="54A6D57A"/>
    <w:lvl w:ilvl="0" w:tplc="21DA315C">
      <w:start w:val="1"/>
      <w:numFmt w:val="lowerLetter"/>
      <w:lvlText w:val="%1."/>
      <w:lvlJc w:val="left"/>
      <w:pPr>
        <w:ind w:left="720" w:hanging="360"/>
      </w:pPr>
    </w:lvl>
    <w:lvl w:ilvl="1" w:tplc="F16E8BCE">
      <w:start w:val="1"/>
      <w:numFmt w:val="lowerLetter"/>
      <w:lvlText w:val="%2."/>
      <w:lvlJc w:val="left"/>
      <w:pPr>
        <w:ind w:left="1440" w:hanging="360"/>
      </w:pPr>
    </w:lvl>
    <w:lvl w:ilvl="2" w:tplc="D9B6B820">
      <w:start w:val="1"/>
      <w:numFmt w:val="lowerRoman"/>
      <w:lvlText w:val="%3."/>
      <w:lvlJc w:val="right"/>
      <w:pPr>
        <w:ind w:left="2160" w:hanging="180"/>
      </w:pPr>
    </w:lvl>
    <w:lvl w:ilvl="3" w:tplc="5AE44E26">
      <w:start w:val="1"/>
      <w:numFmt w:val="decimal"/>
      <w:lvlText w:val="%4."/>
      <w:lvlJc w:val="left"/>
      <w:pPr>
        <w:ind w:left="2880" w:hanging="360"/>
      </w:pPr>
    </w:lvl>
    <w:lvl w:ilvl="4" w:tplc="5C9ADC9E">
      <w:start w:val="1"/>
      <w:numFmt w:val="lowerLetter"/>
      <w:lvlText w:val="%5."/>
      <w:lvlJc w:val="left"/>
      <w:pPr>
        <w:ind w:left="3600" w:hanging="360"/>
      </w:pPr>
    </w:lvl>
    <w:lvl w:ilvl="5" w:tplc="20C81560">
      <w:start w:val="1"/>
      <w:numFmt w:val="lowerRoman"/>
      <w:lvlText w:val="%6."/>
      <w:lvlJc w:val="right"/>
      <w:pPr>
        <w:ind w:left="4320" w:hanging="180"/>
      </w:pPr>
    </w:lvl>
    <w:lvl w:ilvl="6" w:tplc="4EA21632">
      <w:start w:val="1"/>
      <w:numFmt w:val="decimal"/>
      <w:lvlText w:val="%7."/>
      <w:lvlJc w:val="left"/>
      <w:pPr>
        <w:ind w:left="5040" w:hanging="360"/>
      </w:pPr>
    </w:lvl>
    <w:lvl w:ilvl="7" w:tplc="C11CEFB0">
      <w:start w:val="1"/>
      <w:numFmt w:val="lowerLetter"/>
      <w:lvlText w:val="%8."/>
      <w:lvlJc w:val="left"/>
      <w:pPr>
        <w:ind w:left="5760" w:hanging="360"/>
      </w:pPr>
    </w:lvl>
    <w:lvl w:ilvl="8" w:tplc="C55024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7642B"/>
    <w:multiLevelType w:val="hybridMultilevel"/>
    <w:tmpl w:val="459A9E12"/>
    <w:lvl w:ilvl="0" w:tplc="93106D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424390">
    <w:abstractNumId w:val="1"/>
  </w:num>
  <w:num w:numId="2" w16cid:durableId="1344480705">
    <w:abstractNumId w:val="5"/>
  </w:num>
  <w:num w:numId="3" w16cid:durableId="653341320">
    <w:abstractNumId w:val="7"/>
  </w:num>
  <w:num w:numId="4" w16cid:durableId="1388801252">
    <w:abstractNumId w:val="0"/>
  </w:num>
  <w:num w:numId="5" w16cid:durableId="250625537">
    <w:abstractNumId w:val="3"/>
  </w:num>
  <w:num w:numId="6" w16cid:durableId="1480338519">
    <w:abstractNumId w:val="4"/>
  </w:num>
  <w:num w:numId="7" w16cid:durableId="1785224507">
    <w:abstractNumId w:val="2"/>
  </w:num>
  <w:num w:numId="8" w16cid:durableId="14755636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019DE"/>
    <w:rsid w:val="00001A79"/>
    <w:rsid w:val="000108D9"/>
    <w:rsid w:val="0001346E"/>
    <w:rsid w:val="00017FEE"/>
    <w:rsid w:val="000418EE"/>
    <w:rsid w:val="000465BB"/>
    <w:rsid w:val="00060D14"/>
    <w:rsid w:val="00071E27"/>
    <w:rsid w:val="00075BFE"/>
    <w:rsid w:val="00096816"/>
    <w:rsid w:val="000B4C8F"/>
    <w:rsid w:val="000E249E"/>
    <w:rsid w:val="000E2AFC"/>
    <w:rsid w:val="000E4CD6"/>
    <w:rsid w:val="000F119B"/>
    <w:rsid w:val="000F2936"/>
    <w:rsid w:val="00102264"/>
    <w:rsid w:val="0011254C"/>
    <w:rsid w:val="001148C8"/>
    <w:rsid w:val="00126945"/>
    <w:rsid w:val="001968A8"/>
    <w:rsid w:val="001A5F9C"/>
    <w:rsid w:val="001D3474"/>
    <w:rsid w:val="002051AC"/>
    <w:rsid w:val="002149D5"/>
    <w:rsid w:val="00225C9D"/>
    <w:rsid w:val="00285762"/>
    <w:rsid w:val="002A71CF"/>
    <w:rsid w:val="002D5DFF"/>
    <w:rsid w:val="002E6676"/>
    <w:rsid w:val="002F6DFA"/>
    <w:rsid w:val="00334F5C"/>
    <w:rsid w:val="003802B1"/>
    <w:rsid w:val="00381F2A"/>
    <w:rsid w:val="00391CB3"/>
    <w:rsid w:val="003938C8"/>
    <w:rsid w:val="003A38A5"/>
    <w:rsid w:val="003A77AE"/>
    <w:rsid w:val="003B4CA3"/>
    <w:rsid w:val="003D3DE3"/>
    <w:rsid w:val="00402523"/>
    <w:rsid w:val="0041070A"/>
    <w:rsid w:val="00411A4E"/>
    <w:rsid w:val="0043207B"/>
    <w:rsid w:val="00433B91"/>
    <w:rsid w:val="00455939"/>
    <w:rsid w:val="00472EAB"/>
    <w:rsid w:val="00496D69"/>
    <w:rsid w:val="004A099F"/>
    <w:rsid w:val="004A542D"/>
    <w:rsid w:val="004C3D58"/>
    <w:rsid w:val="004E0BAD"/>
    <w:rsid w:val="004E104B"/>
    <w:rsid w:val="004E5C40"/>
    <w:rsid w:val="004F3448"/>
    <w:rsid w:val="00503AF4"/>
    <w:rsid w:val="005221A6"/>
    <w:rsid w:val="005559C5"/>
    <w:rsid w:val="00560F2E"/>
    <w:rsid w:val="00563203"/>
    <w:rsid w:val="00573E42"/>
    <w:rsid w:val="005808CF"/>
    <w:rsid w:val="00580CDE"/>
    <w:rsid w:val="0059505A"/>
    <w:rsid w:val="005A3BE0"/>
    <w:rsid w:val="005B6E0D"/>
    <w:rsid w:val="005C09D4"/>
    <w:rsid w:val="005E7549"/>
    <w:rsid w:val="00641EAD"/>
    <w:rsid w:val="00655899"/>
    <w:rsid w:val="00671D22"/>
    <w:rsid w:val="00677B5E"/>
    <w:rsid w:val="006B6BD7"/>
    <w:rsid w:val="006C3385"/>
    <w:rsid w:val="006E6959"/>
    <w:rsid w:val="006F2120"/>
    <w:rsid w:val="00721093"/>
    <w:rsid w:val="00756F3D"/>
    <w:rsid w:val="00762286"/>
    <w:rsid w:val="007754FA"/>
    <w:rsid w:val="007C4A7B"/>
    <w:rsid w:val="007F5902"/>
    <w:rsid w:val="00856D0A"/>
    <w:rsid w:val="00865D58"/>
    <w:rsid w:val="00872BC4"/>
    <w:rsid w:val="00872F4D"/>
    <w:rsid w:val="00881B97"/>
    <w:rsid w:val="008D4106"/>
    <w:rsid w:val="008E4364"/>
    <w:rsid w:val="009021F2"/>
    <w:rsid w:val="009143EB"/>
    <w:rsid w:val="00923208"/>
    <w:rsid w:val="009364B3"/>
    <w:rsid w:val="00967BC1"/>
    <w:rsid w:val="009872FD"/>
    <w:rsid w:val="00991DBF"/>
    <w:rsid w:val="009923E6"/>
    <w:rsid w:val="009A14CE"/>
    <w:rsid w:val="009A7C74"/>
    <w:rsid w:val="009B7FBB"/>
    <w:rsid w:val="009C098B"/>
    <w:rsid w:val="009E0736"/>
    <w:rsid w:val="009E3A64"/>
    <w:rsid w:val="009F15A8"/>
    <w:rsid w:val="009F15FF"/>
    <w:rsid w:val="00A41182"/>
    <w:rsid w:val="00A614BE"/>
    <w:rsid w:val="00A62FE0"/>
    <w:rsid w:val="00A71A63"/>
    <w:rsid w:val="00A96810"/>
    <w:rsid w:val="00AA06B6"/>
    <w:rsid w:val="00AA33A7"/>
    <w:rsid w:val="00AC3C7C"/>
    <w:rsid w:val="00AC69B7"/>
    <w:rsid w:val="00AE1BF2"/>
    <w:rsid w:val="00AF27FE"/>
    <w:rsid w:val="00B118F6"/>
    <w:rsid w:val="00B1620A"/>
    <w:rsid w:val="00B21388"/>
    <w:rsid w:val="00B27DBF"/>
    <w:rsid w:val="00B52372"/>
    <w:rsid w:val="00B65665"/>
    <w:rsid w:val="00B739D0"/>
    <w:rsid w:val="00B74E0C"/>
    <w:rsid w:val="00B7647C"/>
    <w:rsid w:val="00B92E22"/>
    <w:rsid w:val="00B95987"/>
    <w:rsid w:val="00BC4D36"/>
    <w:rsid w:val="00BC6FEE"/>
    <w:rsid w:val="00BD2755"/>
    <w:rsid w:val="00BF7253"/>
    <w:rsid w:val="00C15B8B"/>
    <w:rsid w:val="00C27135"/>
    <w:rsid w:val="00C463BC"/>
    <w:rsid w:val="00C47D10"/>
    <w:rsid w:val="00C63FC9"/>
    <w:rsid w:val="00CA7F27"/>
    <w:rsid w:val="00CD0553"/>
    <w:rsid w:val="00CD2D3C"/>
    <w:rsid w:val="00CE22C8"/>
    <w:rsid w:val="00CF555C"/>
    <w:rsid w:val="00D030C8"/>
    <w:rsid w:val="00D3251D"/>
    <w:rsid w:val="00D34300"/>
    <w:rsid w:val="00D92693"/>
    <w:rsid w:val="00D95415"/>
    <w:rsid w:val="00E02628"/>
    <w:rsid w:val="00E1166D"/>
    <w:rsid w:val="00E37272"/>
    <w:rsid w:val="00E41686"/>
    <w:rsid w:val="00E41911"/>
    <w:rsid w:val="00E55D21"/>
    <w:rsid w:val="00E6236C"/>
    <w:rsid w:val="00E65843"/>
    <w:rsid w:val="00E92DEF"/>
    <w:rsid w:val="00F14D12"/>
    <w:rsid w:val="00F16401"/>
    <w:rsid w:val="00F238FE"/>
    <w:rsid w:val="00F73EF0"/>
    <w:rsid w:val="00F82759"/>
    <w:rsid w:val="00F9248B"/>
    <w:rsid w:val="00FA6E00"/>
    <w:rsid w:val="071FE088"/>
    <w:rsid w:val="09C1D094"/>
    <w:rsid w:val="13C2ED1F"/>
    <w:rsid w:val="37ACE659"/>
    <w:rsid w:val="3C967604"/>
    <w:rsid w:val="5EB0F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8A660018-CCA0-4E43-A214-854E0988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1A4E"/>
  </w:style>
  <w:style w:type="character" w:customStyle="1" w:styleId="eop">
    <w:name w:val="eop"/>
    <w:basedOn w:val="DefaultParagraphFont"/>
    <w:rsid w:val="00411A4E"/>
  </w:style>
  <w:style w:type="paragraph" w:customStyle="1" w:styleId="paragraph">
    <w:name w:val="paragraph"/>
    <w:basedOn w:val="Normal"/>
    <w:rsid w:val="000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7502-FAE7-4EB0-BBA8-C28F66F8C02F}">
  <ds:schemaRefs>
    <ds:schemaRef ds:uri="http://purl.org/dc/terms/"/>
    <ds:schemaRef ds:uri="http://purl.org/dc/dcmitype/"/>
    <ds:schemaRef ds:uri="f2a07ec4-2340-49d4-9450-4ed0040f50ed"/>
    <ds:schemaRef ds:uri="1ab8e22c-9a96-4de6-93eb-791483c8c12d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1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4</cp:revision>
  <dcterms:created xsi:type="dcterms:W3CDTF">2022-06-13T19:31:00Z</dcterms:created>
  <dcterms:modified xsi:type="dcterms:W3CDTF">2022-06-22T22:36:00Z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